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B728FE" w14:textId="77777777" w:rsidR="00B03A8B" w:rsidRDefault="00B03A8B" w:rsidP="00B03A8B">
      <w:pPr>
        <w:spacing w:after="240"/>
        <w:rPr>
          <w:color w:val="000000"/>
          <w:lang w:eastAsia="en-GB"/>
        </w:rPr>
      </w:pPr>
      <w:r>
        <w:rPr>
          <w:color w:val="000000"/>
          <w:sz w:val="22"/>
          <w:szCs w:val="22"/>
          <w:lang w:eastAsia="en-GB"/>
        </w:rPr>
        <w:t>Dear all,</w:t>
      </w:r>
      <w:r>
        <w:rPr>
          <w:color w:val="000000"/>
          <w:sz w:val="22"/>
          <w:szCs w:val="22"/>
          <w:lang w:eastAsia="en-GB"/>
        </w:rPr>
        <w:br/>
      </w:r>
    </w:p>
    <w:p w14:paraId="1AAC8718" w14:textId="78051DBF" w:rsidR="00B03A8B" w:rsidRDefault="00B03A8B" w:rsidP="00B03A8B">
      <w:pPr>
        <w:spacing w:after="240"/>
        <w:rPr>
          <w:color w:val="000000"/>
          <w:lang w:eastAsia="en-GB"/>
        </w:rPr>
      </w:pPr>
      <w:r>
        <w:rPr>
          <w:color w:val="000000"/>
          <w:sz w:val="22"/>
          <w:szCs w:val="22"/>
          <w:lang w:eastAsia="en-GB"/>
        </w:rPr>
        <w:t>Please join us for our November webinar:</w:t>
      </w:r>
      <w:r>
        <w:rPr>
          <w:color w:val="000000"/>
          <w:sz w:val="22"/>
          <w:szCs w:val="22"/>
          <w:lang w:eastAsia="en-GB"/>
        </w:rPr>
        <w:br/>
      </w:r>
    </w:p>
    <w:p w14:paraId="67C77012" w14:textId="77777777" w:rsidR="00B03A8B" w:rsidRDefault="00B03A8B" w:rsidP="00B03A8B">
      <w:pPr>
        <w:rPr>
          <w:color w:val="000000"/>
          <w:sz w:val="22"/>
          <w:szCs w:val="22"/>
          <w:lang w:eastAsia="en-GB"/>
        </w:rPr>
      </w:pPr>
      <w:r>
        <w:rPr>
          <w:color w:val="000000"/>
          <w:sz w:val="22"/>
          <w:szCs w:val="22"/>
          <w:lang w:eastAsia="en-GB"/>
        </w:rPr>
        <w:t>14</w:t>
      </w:r>
      <w:r>
        <w:rPr>
          <w:color w:val="000000"/>
          <w:sz w:val="22"/>
          <w:szCs w:val="22"/>
          <w:vertAlign w:val="superscript"/>
          <w:lang w:eastAsia="en-GB"/>
        </w:rPr>
        <w:t>th</w:t>
      </w:r>
      <w:r>
        <w:rPr>
          <w:color w:val="000000"/>
          <w:sz w:val="22"/>
          <w:szCs w:val="22"/>
          <w:lang w:eastAsia="en-GB"/>
        </w:rPr>
        <w:t xml:space="preserve"> November, 1 pm UK time</w:t>
      </w:r>
    </w:p>
    <w:p w14:paraId="69233FE6" w14:textId="7753322D" w:rsidR="00B03A8B" w:rsidRDefault="00B03A8B" w:rsidP="00B03A8B">
      <w:pPr>
        <w:spacing w:after="240"/>
        <w:rPr>
          <w:sz w:val="22"/>
          <w:szCs w:val="22"/>
          <w:lang w:eastAsia="en-GB"/>
        </w:rPr>
      </w:pPr>
      <w:r>
        <w:rPr>
          <w:color w:val="000000"/>
          <w:sz w:val="22"/>
          <w:szCs w:val="22"/>
          <w:lang w:eastAsia="en-GB"/>
        </w:rPr>
        <w:t>Steve</w:t>
      </w:r>
      <w:r>
        <w:rPr>
          <w:color w:val="000000"/>
          <w:sz w:val="22"/>
          <w:szCs w:val="22"/>
          <w:lang w:eastAsia="en-GB"/>
        </w:rPr>
        <w:t>n</w:t>
      </w:r>
      <w:r>
        <w:rPr>
          <w:color w:val="000000"/>
          <w:sz w:val="22"/>
          <w:szCs w:val="22"/>
          <w:lang w:eastAsia="en-GB"/>
        </w:rPr>
        <w:t xml:space="preserve"> Kemp:</w:t>
      </w:r>
      <w:r>
        <w:rPr>
          <w:color w:val="000000"/>
          <w:sz w:val="22"/>
          <w:szCs w:val="22"/>
          <w:lang w:eastAsia="en-GB"/>
        </w:rPr>
        <w:br/>
        <w:t>Basic Introduction to Whole Genome Sequences and their Analysis – Part 2</w:t>
      </w:r>
      <w:r>
        <w:rPr>
          <w:color w:val="000000"/>
          <w:sz w:val="22"/>
          <w:szCs w:val="22"/>
          <w:lang w:eastAsia="en-GB"/>
        </w:rPr>
        <w:br/>
      </w:r>
    </w:p>
    <w:p w14:paraId="085740D6" w14:textId="77777777" w:rsidR="00B03A8B" w:rsidRDefault="00B03A8B" w:rsidP="00B03A8B">
      <w:pPr>
        <w:rPr>
          <w:color w:val="000000"/>
          <w:sz w:val="22"/>
          <w:szCs w:val="22"/>
          <w:lang w:eastAsia="en-GB"/>
        </w:rPr>
      </w:pPr>
      <w:r>
        <w:rPr>
          <w:color w:val="000000"/>
          <w:sz w:val="22"/>
          <w:szCs w:val="22"/>
          <w:lang w:eastAsia="en-GB"/>
        </w:rPr>
        <w:t>This is a more practical session looking at different tools and most suited for those working with sequences themselves. The introduction will be split over two sessions and cover the topics below. We will go back to more scientific webinars from December.</w:t>
      </w:r>
    </w:p>
    <w:p w14:paraId="165F02E6" w14:textId="77777777" w:rsidR="00B03A8B" w:rsidRDefault="00B03A8B" w:rsidP="00B03A8B">
      <w:pPr>
        <w:rPr>
          <w:color w:val="000000"/>
          <w:lang w:eastAsia="en-GB"/>
        </w:rPr>
      </w:pPr>
    </w:p>
    <w:p w14:paraId="55FEEB06" w14:textId="77777777" w:rsidR="00B03A8B" w:rsidRDefault="00B03A8B" w:rsidP="00B03A8B">
      <w:pPr>
        <w:numPr>
          <w:ilvl w:val="0"/>
          <w:numId w:val="1"/>
        </w:numPr>
        <w:rPr>
          <w:rFonts w:eastAsia="Times New Roman"/>
          <w:color w:val="000000"/>
          <w:lang w:eastAsia="en-GB"/>
        </w:rPr>
      </w:pPr>
      <w:r>
        <w:rPr>
          <w:rFonts w:eastAsia="Times New Roman"/>
          <w:color w:val="000000"/>
          <w:sz w:val="22"/>
          <w:szCs w:val="22"/>
          <w:lang w:eastAsia="en-GB"/>
        </w:rPr>
        <w:t xml:space="preserve">Installing Linux (suggested distribution is </w:t>
      </w:r>
      <w:proofErr w:type="spellStart"/>
      <w:r>
        <w:rPr>
          <w:rFonts w:eastAsia="Times New Roman"/>
          <w:color w:val="000000"/>
          <w:sz w:val="22"/>
          <w:szCs w:val="22"/>
          <w:lang w:eastAsia="en-GB"/>
        </w:rPr>
        <w:t>BioLinux</w:t>
      </w:r>
      <w:proofErr w:type="spellEnd"/>
      <w:r>
        <w:rPr>
          <w:rFonts w:eastAsia="Times New Roman"/>
          <w:color w:val="000000"/>
          <w:sz w:val="22"/>
          <w:szCs w:val="22"/>
          <w:lang w:eastAsia="en-GB"/>
        </w:rPr>
        <w:t>, which come pre-installed with many bioinformatics software)</w:t>
      </w:r>
    </w:p>
    <w:p w14:paraId="2F8B2B3C" w14:textId="77777777" w:rsidR="00B03A8B" w:rsidRDefault="00B03A8B" w:rsidP="00B03A8B">
      <w:pPr>
        <w:numPr>
          <w:ilvl w:val="0"/>
          <w:numId w:val="1"/>
        </w:numPr>
        <w:rPr>
          <w:rFonts w:eastAsia="Times New Roman"/>
          <w:color w:val="000000"/>
          <w:lang w:eastAsia="en-GB"/>
        </w:rPr>
      </w:pPr>
      <w:r>
        <w:rPr>
          <w:rFonts w:eastAsia="Times New Roman"/>
          <w:color w:val="000000"/>
          <w:sz w:val="22"/>
          <w:szCs w:val="22"/>
          <w:lang w:eastAsia="en-GB"/>
        </w:rPr>
        <w:t xml:space="preserve">Installing </w:t>
      </w:r>
      <w:proofErr w:type="spellStart"/>
      <w:r>
        <w:rPr>
          <w:rFonts w:eastAsia="Times New Roman"/>
          <w:color w:val="000000"/>
          <w:sz w:val="22"/>
          <w:szCs w:val="22"/>
          <w:lang w:eastAsia="en-GB"/>
        </w:rPr>
        <w:t>Linuxbrew</w:t>
      </w:r>
      <w:proofErr w:type="spellEnd"/>
      <w:r>
        <w:rPr>
          <w:rFonts w:eastAsia="Times New Roman"/>
          <w:color w:val="000000"/>
          <w:sz w:val="22"/>
          <w:szCs w:val="22"/>
          <w:lang w:eastAsia="en-GB"/>
        </w:rPr>
        <w:t xml:space="preserve"> + </w:t>
      </w:r>
      <w:proofErr w:type="spellStart"/>
      <w:r>
        <w:rPr>
          <w:rFonts w:eastAsia="Times New Roman"/>
          <w:color w:val="000000"/>
          <w:sz w:val="22"/>
          <w:szCs w:val="22"/>
          <w:lang w:eastAsia="en-GB"/>
        </w:rPr>
        <w:t>BioConda</w:t>
      </w:r>
      <w:proofErr w:type="spellEnd"/>
      <w:r>
        <w:rPr>
          <w:rFonts w:eastAsia="Times New Roman"/>
          <w:color w:val="000000"/>
          <w:sz w:val="22"/>
          <w:szCs w:val="22"/>
          <w:lang w:eastAsia="en-GB"/>
        </w:rPr>
        <w:t xml:space="preserve"> (for installing additional software we might need)</w:t>
      </w:r>
    </w:p>
    <w:p w14:paraId="09065F69" w14:textId="77777777" w:rsidR="00B03A8B" w:rsidRDefault="00B03A8B" w:rsidP="00B03A8B">
      <w:pPr>
        <w:numPr>
          <w:ilvl w:val="0"/>
          <w:numId w:val="1"/>
        </w:numPr>
        <w:rPr>
          <w:rFonts w:eastAsia="Times New Roman"/>
          <w:color w:val="000000"/>
          <w:lang w:eastAsia="en-GB"/>
        </w:rPr>
      </w:pPr>
      <w:r>
        <w:rPr>
          <w:rFonts w:eastAsia="Times New Roman"/>
          <w:color w:val="000000"/>
          <w:sz w:val="22"/>
          <w:szCs w:val="22"/>
          <w:lang w:eastAsia="en-GB"/>
        </w:rPr>
        <w:t>Quality control of raw reads (</w:t>
      </w:r>
      <w:proofErr w:type="spellStart"/>
      <w:r>
        <w:rPr>
          <w:rFonts w:eastAsia="Times New Roman"/>
          <w:color w:val="000000"/>
          <w:sz w:val="22"/>
          <w:szCs w:val="22"/>
          <w:lang w:eastAsia="en-GB"/>
        </w:rPr>
        <w:t>FastQC</w:t>
      </w:r>
      <w:proofErr w:type="spellEnd"/>
      <w:r>
        <w:rPr>
          <w:rFonts w:eastAsia="Times New Roman"/>
          <w:color w:val="000000"/>
          <w:sz w:val="22"/>
          <w:szCs w:val="22"/>
          <w:lang w:eastAsia="en-GB"/>
        </w:rPr>
        <w:t>)</w:t>
      </w:r>
    </w:p>
    <w:p w14:paraId="548704FA" w14:textId="77777777" w:rsidR="00B03A8B" w:rsidRDefault="00B03A8B" w:rsidP="00B03A8B">
      <w:pPr>
        <w:numPr>
          <w:ilvl w:val="0"/>
          <w:numId w:val="1"/>
        </w:numPr>
        <w:rPr>
          <w:rFonts w:eastAsia="Times New Roman"/>
          <w:color w:val="000000"/>
          <w:lang w:eastAsia="en-GB"/>
        </w:rPr>
      </w:pPr>
      <w:r>
        <w:rPr>
          <w:rFonts w:eastAsia="Times New Roman"/>
          <w:color w:val="000000"/>
          <w:sz w:val="22"/>
          <w:szCs w:val="22"/>
          <w:lang w:eastAsia="en-GB"/>
        </w:rPr>
        <w:t>Alignment of reads to a reference file (BWA/Bowtie2/</w:t>
      </w:r>
      <w:proofErr w:type="spellStart"/>
      <w:r>
        <w:rPr>
          <w:rFonts w:eastAsia="Times New Roman"/>
          <w:color w:val="000000"/>
          <w:sz w:val="22"/>
          <w:szCs w:val="22"/>
          <w:lang w:eastAsia="en-GB"/>
        </w:rPr>
        <w:t>bbmap</w:t>
      </w:r>
      <w:proofErr w:type="spellEnd"/>
      <w:r>
        <w:rPr>
          <w:rFonts w:eastAsia="Times New Roman"/>
          <w:color w:val="000000"/>
          <w:sz w:val="22"/>
          <w:szCs w:val="22"/>
          <w:lang w:eastAsia="en-GB"/>
        </w:rPr>
        <w:t>)</w:t>
      </w:r>
    </w:p>
    <w:p w14:paraId="5AD6CFBF" w14:textId="77777777" w:rsidR="00B03A8B" w:rsidRDefault="00B03A8B" w:rsidP="00B03A8B">
      <w:pPr>
        <w:numPr>
          <w:ilvl w:val="0"/>
          <w:numId w:val="1"/>
        </w:numPr>
        <w:rPr>
          <w:rFonts w:eastAsia="Times New Roman"/>
          <w:color w:val="000000"/>
          <w:lang w:eastAsia="en-GB"/>
        </w:rPr>
      </w:pPr>
      <w:r>
        <w:rPr>
          <w:rFonts w:eastAsia="Times New Roman"/>
          <w:color w:val="000000"/>
          <w:sz w:val="22"/>
          <w:szCs w:val="22"/>
          <w:lang w:eastAsia="en-GB"/>
        </w:rPr>
        <w:t>Sort and index (</w:t>
      </w:r>
      <w:proofErr w:type="spellStart"/>
      <w:r>
        <w:rPr>
          <w:rFonts w:eastAsia="Times New Roman"/>
          <w:color w:val="000000"/>
          <w:sz w:val="22"/>
          <w:szCs w:val="22"/>
          <w:lang w:eastAsia="en-GB"/>
        </w:rPr>
        <w:t>samtools</w:t>
      </w:r>
      <w:proofErr w:type="spellEnd"/>
      <w:r>
        <w:rPr>
          <w:rFonts w:eastAsia="Times New Roman"/>
          <w:color w:val="000000"/>
          <w:sz w:val="22"/>
          <w:szCs w:val="22"/>
          <w:lang w:eastAsia="en-GB"/>
        </w:rPr>
        <w:t>)</w:t>
      </w:r>
    </w:p>
    <w:p w14:paraId="7DECC5EC" w14:textId="77777777" w:rsidR="00B03A8B" w:rsidRDefault="00B03A8B" w:rsidP="00B03A8B">
      <w:pPr>
        <w:numPr>
          <w:ilvl w:val="0"/>
          <w:numId w:val="1"/>
        </w:numPr>
        <w:rPr>
          <w:rFonts w:eastAsia="Times New Roman"/>
          <w:color w:val="000000"/>
          <w:lang w:eastAsia="en-GB"/>
        </w:rPr>
      </w:pPr>
      <w:r>
        <w:rPr>
          <w:rFonts w:eastAsia="Times New Roman"/>
          <w:color w:val="000000"/>
          <w:sz w:val="22"/>
          <w:szCs w:val="22"/>
          <w:lang w:eastAsia="en-GB"/>
        </w:rPr>
        <w:t>Mark duplicate reads and remove (</w:t>
      </w:r>
      <w:proofErr w:type="spellStart"/>
      <w:r>
        <w:rPr>
          <w:rFonts w:eastAsia="Times New Roman"/>
          <w:color w:val="000000"/>
          <w:sz w:val="22"/>
          <w:szCs w:val="22"/>
          <w:lang w:eastAsia="en-GB"/>
        </w:rPr>
        <w:t>samtools</w:t>
      </w:r>
      <w:proofErr w:type="spellEnd"/>
      <w:r>
        <w:rPr>
          <w:rFonts w:eastAsia="Times New Roman"/>
          <w:color w:val="000000"/>
          <w:sz w:val="22"/>
          <w:szCs w:val="22"/>
          <w:lang w:eastAsia="en-GB"/>
        </w:rPr>
        <w:t>)</w:t>
      </w:r>
    </w:p>
    <w:p w14:paraId="7F71F261" w14:textId="77777777" w:rsidR="00B03A8B" w:rsidRDefault="00B03A8B" w:rsidP="00B03A8B">
      <w:pPr>
        <w:numPr>
          <w:ilvl w:val="0"/>
          <w:numId w:val="1"/>
        </w:numPr>
        <w:rPr>
          <w:rFonts w:eastAsia="Times New Roman"/>
          <w:color w:val="000000"/>
          <w:lang w:eastAsia="en-GB"/>
        </w:rPr>
      </w:pPr>
      <w:r>
        <w:rPr>
          <w:rFonts w:eastAsia="Times New Roman"/>
          <w:color w:val="000000"/>
          <w:sz w:val="22"/>
          <w:szCs w:val="22"/>
          <w:lang w:eastAsia="en-GB"/>
        </w:rPr>
        <w:t>What to do with BAM files</w:t>
      </w:r>
    </w:p>
    <w:p w14:paraId="516C78FC" w14:textId="77777777" w:rsidR="00B03A8B" w:rsidRDefault="00B03A8B" w:rsidP="00B03A8B">
      <w:pPr>
        <w:rPr>
          <w:color w:val="000000"/>
          <w:lang w:eastAsia="en-GB"/>
        </w:rPr>
      </w:pPr>
    </w:p>
    <w:p w14:paraId="7BF45DB3" w14:textId="77777777" w:rsidR="00B03A8B" w:rsidRDefault="00B03A8B" w:rsidP="00B03A8B">
      <w:pPr>
        <w:rPr>
          <w:sz w:val="22"/>
          <w:szCs w:val="22"/>
        </w:rPr>
      </w:pPr>
      <w:bookmarkStart w:id="0" w:name="_GoBack"/>
      <w:bookmarkEnd w:id="0"/>
      <w:r>
        <w:rPr>
          <w:sz w:val="22"/>
          <w:szCs w:val="22"/>
        </w:rPr>
        <w:t>Dial-in details:</w:t>
      </w:r>
    </w:p>
    <w:p w14:paraId="68BB9675" w14:textId="77777777" w:rsidR="00B03A8B" w:rsidRDefault="00B03A8B" w:rsidP="00B03A8B">
      <w:pPr>
        <w:rPr>
          <w:sz w:val="22"/>
          <w:szCs w:val="22"/>
        </w:rPr>
      </w:pPr>
    </w:p>
    <w:tbl>
      <w:tblPr>
        <w:tblW w:w="9000" w:type="dxa"/>
        <w:jc w:val="center"/>
        <w:tblCellSpacing w:w="15" w:type="dxa"/>
        <w:tblBorders>
          <w:top w:val="single" w:sz="8" w:space="0" w:color="D8D8D8"/>
          <w:left w:val="single" w:sz="8" w:space="0" w:color="D8D8D8"/>
          <w:bottom w:val="single" w:sz="8" w:space="0" w:color="D8D8D8"/>
          <w:right w:val="single" w:sz="8" w:space="0" w:color="D8D8D8"/>
        </w:tblBorders>
        <w:shd w:val="clear" w:color="auto" w:fill="FFFFFF"/>
        <w:tblCellMar>
          <w:left w:w="0" w:type="dxa"/>
          <w:right w:w="0" w:type="dxa"/>
        </w:tblCellMar>
        <w:tblLook w:val="04A0" w:firstRow="1" w:lastRow="0" w:firstColumn="1" w:lastColumn="0" w:noHBand="0" w:noVBand="1"/>
      </w:tblPr>
      <w:tblGrid>
        <w:gridCol w:w="9000"/>
      </w:tblGrid>
      <w:tr w:rsidR="00B03A8B" w14:paraId="60578EC1" w14:textId="77777777" w:rsidTr="00B03A8B">
        <w:trPr>
          <w:tblCellSpacing w:w="15" w:type="dxa"/>
          <w:jc w:val="center"/>
        </w:trPr>
        <w:tc>
          <w:tcPr>
            <w:tcW w:w="0" w:type="auto"/>
            <w:tcBorders>
              <w:top w:val="nil"/>
              <w:left w:val="nil"/>
              <w:bottom w:val="nil"/>
              <w:right w:val="nil"/>
            </w:tcBorders>
            <w:shd w:val="clear" w:color="auto" w:fill="FFFFFF"/>
            <w:tcMar>
              <w:top w:w="300" w:type="dxa"/>
              <w:left w:w="750" w:type="dxa"/>
              <w:bottom w:w="150" w:type="dxa"/>
              <w:right w:w="75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3015"/>
              <w:gridCol w:w="6"/>
            </w:tblGrid>
            <w:tr w:rsidR="00B03A8B" w14:paraId="5B1F1512" w14:textId="77777777">
              <w:trPr>
                <w:trHeight w:val="450"/>
                <w:tblCellSpacing w:w="0" w:type="dxa"/>
              </w:trPr>
              <w:tc>
                <w:tcPr>
                  <w:tcW w:w="3000" w:type="dxa"/>
                  <w:shd w:val="clear" w:color="auto" w:fill="0B88E6"/>
                  <w:vAlign w:val="center"/>
                  <w:hideMark/>
                </w:tcPr>
                <w:p w14:paraId="7F87FF36" w14:textId="77777777" w:rsidR="00B03A8B" w:rsidRDefault="00B03A8B">
                  <w:pPr>
                    <w:jc w:val="center"/>
                    <w:rPr>
                      <w:color w:val="FFFFFF"/>
                      <w:sz w:val="22"/>
                      <w:szCs w:val="22"/>
                    </w:rPr>
                  </w:pPr>
                  <w:hyperlink r:id="rId5" w:tgtFrame="_blank" w:history="1">
                    <w:r>
                      <w:rPr>
                        <w:rStyle w:val="Hyperlink"/>
                        <w:rFonts w:ascii="Helvetica" w:hAnsi="Helvetica"/>
                        <w:b/>
                        <w:bCs/>
                        <w:color w:val="FFFFFF"/>
                        <w:u w:val="none"/>
                        <w:shd w:val="clear" w:color="auto" w:fill="0B88E6"/>
                      </w:rPr>
                      <w:t xml:space="preserve">Join Meeting </w:t>
                    </w:r>
                  </w:hyperlink>
                </w:p>
              </w:tc>
              <w:tc>
                <w:tcPr>
                  <w:tcW w:w="0" w:type="auto"/>
                  <w:vAlign w:val="center"/>
                  <w:hideMark/>
                </w:tcPr>
                <w:p w14:paraId="1F56AC5C" w14:textId="77777777" w:rsidR="00B03A8B" w:rsidRDefault="00B03A8B">
                  <w:pPr>
                    <w:rPr>
                      <w:color w:val="FFFFFF"/>
                      <w:sz w:val="22"/>
                      <w:szCs w:val="22"/>
                    </w:rPr>
                  </w:pPr>
                </w:p>
              </w:tc>
            </w:tr>
            <w:tr w:rsidR="00B03A8B" w14:paraId="15E39456" w14:textId="77777777">
              <w:trPr>
                <w:tblCellSpacing w:w="0" w:type="dxa"/>
              </w:trPr>
              <w:tc>
                <w:tcPr>
                  <w:tcW w:w="3015" w:type="dxa"/>
                  <w:vAlign w:val="center"/>
                  <w:hideMark/>
                </w:tcPr>
                <w:p w14:paraId="52783099" w14:textId="77777777" w:rsidR="00B03A8B" w:rsidRDefault="00B03A8B">
                  <w:pPr>
                    <w:rPr>
                      <w:sz w:val="22"/>
                      <w:szCs w:val="22"/>
                    </w:rPr>
                  </w:pPr>
                  <w:r>
                    <w:t xml:space="preserve">(Join from computer or phone) </w:t>
                  </w:r>
                </w:p>
              </w:tc>
              <w:tc>
                <w:tcPr>
                  <w:tcW w:w="0" w:type="auto"/>
                  <w:vAlign w:val="center"/>
                  <w:hideMark/>
                </w:tcPr>
                <w:p w14:paraId="67ED4E59" w14:textId="77777777" w:rsidR="00B03A8B" w:rsidRDefault="00B03A8B">
                  <w:pPr>
                    <w:rPr>
                      <w:sz w:val="22"/>
                      <w:szCs w:val="22"/>
                    </w:rPr>
                  </w:pPr>
                </w:p>
              </w:tc>
            </w:tr>
          </w:tbl>
          <w:p w14:paraId="56BE5F36" w14:textId="77777777" w:rsidR="00B03A8B" w:rsidRDefault="00B03A8B">
            <w:pPr>
              <w:rPr>
                <w:rFonts w:ascii="Times New Roman" w:eastAsia="Times New Roman" w:hAnsi="Times New Roman" w:cs="Times New Roman"/>
                <w:sz w:val="20"/>
                <w:szCs w:val="20"/>
                <w:lang w:eastAsia="en-GB"/>
              </w:rPr>
            </w:pPr>
          </w:p>
        </w:tc>
      </w:tr>
      <w:tr w:rsidR="00B03A8B" w14:paraId="6A4F8D5C" w14:textId="77777777" w:rsidTr="00B03A8B">
        <w:trPr>
          <w:tblCellSpacing w:w="15" w:type="dxa"/>
          <w:jc w:val="center"/>
        </w:trPr>
        <w:tc>
          <w:tcPr>
            <w:tcW w:w="0" w:type="auto"/>
            <w:tcBorders>
              <w:top w:val="nil"/>
              <w:left w:val="nil"/>
              <w:bottom w:val="nil"/>
              <w:right w:val="nil"/>
            </w:tcBorders>
            <w:shd w:val="clear" w:color="auto" w:fill="FFFFFF"/>
            <w:tcMar>
              <w:top w:w="300" w:type="dxa"/>
              <w:left w:w="750" w:type="dxa"/>
              <w:bottom w:w="150" w:type="dxa"/>
              <w:right w:w="750" w:type="dxa"/>
            </w:tcMar>
            <w:vAlign w:val="center"/>
            <w:hideMark/>
          </w:tcPr>
          <w:p w14:paraId="1A0C70C9" w14:textId="77777777" w:rsidR="00B03A8B" w:rsidRDefault="00B03A8B">
            <w:pPr>
              <w:rPr>
                <w:rFonts w:ascii="Times New Roman" w:eastAsia="Times New Roman" w:hAnsi="Times New Roman" w:cs="Times New Roman"/>
                <w:sz w:val="20"/>
                <w:szCs w:val="20"/>
                <w:lang w:eastAsia="en-GB"/>
              </w:rPr>
            </w:pPr>
          </w:p>
        </w:tc>
      </w:tr>
      <w:tr w:rsidR="00B03A8B" w14:paraId="4F3CBFBC" w14:textId="77777777" w:rsidTr="00B03A8B">
        <w:trPr>
          <w:tblCellSpacing w:w="15" w:type="dxa"/>
          <w:jc w:val="center"/>
        </w:trPr>
        <w:tc>
          <w:tcPr>
            <w:tcW w:w="0" w:type="auto"/>
            <w:tcBorders>
              <w:top w:val="nil"/>
              <w:left w:val="nil"/>
              <w:bottom w:val="nil"/>
              <w:right w:val="nil"/>
            </w:tcBorders>
            <w:shd w:val="clear" w:color="auto" w:fill="FFFFFF"/>
            <w:tcMar>
              <w:top w:w="150" w:type="dxa"/>
              <w:left w:w="750" w:type="dxa"/>
              <w:bottom w:w="150" w:type="dxa"/>
              <w:right w:w="750" w:type="dxa"/>
            </w:tcMar>
            <w:vAlign w:val="center"/>
            <w:hideMark/>
          </w:tcPr>
          <w:p w14:paraId="08EEE10F" w14:textId="77777777" w:rsidR="00B03A8B" w:rsidRDefault="00B03A8B">
            <w:pPr>
              <w:spacing w:before="300" w:after="240"/>
            </w:pPr>
            <w:r>
              <w:rPr>
                <w:b/>
                <w:bCs/>
                <w:color w:val="000000"/>
              </w:rPr>
              <w:t>Phone Dial-in</w:t>
            </w:r>
            <w:r>
              <w:rPr>
                <w:color w:val="000000"/>
              </w:rPr>
              <w:br/>
            </w:r>
            <w:hyperlink r:id="rId6" w:history="1">
              <w:r>
                <w:rPr>
                  <w:rStyle w:val="Hyperlink"/>
                </w:rPr>
                <w:t>+44.203.608.5256</w:t>
              </w:r>
            </w:hyperlink>
            <w:r>
              <w:rPr>
                <w:color w:val="000000"/>
              </w:rPr>
              <w:t xml:space="preserve"> (UK (London))</w:t>
            </w:r>
            <w:r>
              <w:rPr>
                <w:color w:val="000000"/>
              </w:rPr>
              <w:br/>
              <w:t>(</w:t>
            </w:r>
            <w:hyperlink r:id="rId7" w:history="1">
              <w:r>
                <w:rPr>
                  <w:rStyle w:val="Hyperlink"/>
                </w:rPr>
                <w:t>Global Numbers</w:t>
              </w:r>
            </w:hyperlink>
            <w:r>
              <w:rPr>
                <w:color w:val="000000"/>
              </w:rPr>
              <w:t>)</w:t>
            </w:r>
            <w:r>
              <w:rPr>
                <w:color w:val="000000"/>
              </w:rPr>
              <w:br/>
            </w:r>
            <w:r>
              <w:rPr>
                <w:color w:val="000000"/>
              </w:rPr>
              <w:br/>
              <w:t>Meeting ID: 411 582 188</w:t>
            </w:r>
            <w:r>
              <w:rPr>
                <w:color w:val="000000"/>
              </w:rPr>
              <w:br/>
            </w:r>
          </w:p>
        </w:tc>
      </w:tr>
    </w:tbl>
    <w:p w14:paraId="219A73A3" w14:textId="77777777" w:rsidR="006C3C87" w:rsidRDefault="006C3C87"/>
    <w:sectPr w:rsidR="006C3C87" w:rsidSect="00B71AD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60A49"/>
    <w:multiLevelType w:val="multilevel"/>
    <w:tmpl w:val="A63853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A8B"/>
    <w:rsid w:val="0011432E"/>
    <w:rsid w:val="001213DB"/>
    <w:rsid w:val="001758AF"/>
    <w:rsid w:val="001B4370"/>
    <w:rsid w:val="001E0BF6"/>
    <w:rsid w:val="003B5B16"/>
    <w:rsid w:val="004410B2"/>
    <w:rsid w:val="004F741E"/>
    <w:rsid w:val="00585784"/>
    <w:rsid w:val="0067326C"/>
    <w:rsid w:val="006B06F3"/>
    <w:rsid w:val="006C3C87"/>
    <w:rsid w:val="00854978"/>
    <w:rsid w:val="008F7036"/>
    <w:rsid w:val="008F7C1E"/>
    <w:rsid w:val="00A52F7B"/>
    <w:rsid w:val="00AF5803"/>
    <w:rsid w:val="00B03A8B"/>
    <w:rsid w:val="00B4115E"/>
    <w:rsid w:val="00B63D6A"/>
    <w:rsid w:val="00B71AD2"/>
    <w:rsid w:val="00BA6CC5"/>
    <w:rsid w:val="00BB0CD3"/>
    <w:rsid w:val="00BD564C"/>
    <w:rsid w:val="00C575B3"/>
    <w:rsid w:val="00D77380"/>
    <w:rsid w:val="00DC1E3E"/>
    <w:rsid w:val="00DE5542"/>
    <w:rsid w:val="00E44CC2"/>
    <w:rsid w:val="00E92FFA"/>
    <w:rsid w:val="00FA44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DF332"/>
  <w15:chartTrackingRefBased/>
  <w15:docId w15:val="{2C19EAD3-2CA3-4A44-8625-7030585A4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03A8B"/>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03A8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05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luejeans.com/numb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44.203.608.5256" TargetMode="External"/><Relationship Id="rId5" Type="http://schemas.openxmlformats.org/officeDocument/2006/relationships/hyperlink" Target="https://bluejeans.com/411582188?src=htmlEmai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169</Words>
  <Characters>969</Characters>
  <Application>Microsoft Office Word</Application>
  <DocSecurity>0</DocSecurity>
  <Lines>8</Lines>
  <Paragraphs>2</Paragraphs>
  <ScaleCrop>false</ScaleCrop>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Abeler-Dörner</dc:creator>
  <cp:keywords/>
  <dc:description/>
  <cp:lastModifiedBy>Lucie Abeler-Dörner</cp:lastModifiedBy>
  <cp:revision>1</cp:revision>
  <dcterms:created xsi:type="dcterms:W3CDTF">2019-10-30T11:16:00Z</dcterms:created>
  <dcterms:modified xsi:type="dcterms:W3CDTF">2019-10-30T11:17:00Z</dcterms:modified>
</cp:coreProperties>
</file>